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 w:cs="仿宋_GB2312"/>
          <w:sz w:val="44"/>
          <w:szCs w:val="44"/>
        </w:rPr>
      </w:pPr>
      <w:r>
        <w:rPr>
          <w:rFonts w:hint="eastAsia" w:ascii="方正小标宋简体" w:hAnsi="华文中宋" w:eastAsia="方正小标宋简体" w:cs="仿宋_GB2312"/>
          <w:sz w:val="44"/>
          <w:szCs w:val="44"/>
        </w:rPr>
        <w:t>岳阳街道办事处工作报告</w:t>
      </w:r>
    </w:p>
    <w:p>
      <w:pPr>
        <w:spacing w:line="600" w:lineRule="exact"/>
        <w:jc w:val="center"/>
        <w:rPr>
          <w:rFonts w:ascii="楷体_GB2312" w:hAnsi="华文中宋" w:eastAsia="楷体_GB2312" w:cs="仿宋_GB2312"/>
          <w:b/>
          <w:sz w:val="32"/>
          <w:szCs w:val="32"/>
        </w:rPr>
      </w:pPr>
      <w:r>
        <w:rPr>
          <w:rFonts w:hint="eastAsia" w:ascii="楷体_GB2312" w:hAnsi="华文中宋" w:eastAsia="楷体_GB2312" w:cs="仿宋_GB2312"/>
          <w:b/>
          <w:sz w:val="32"/>
          <w:szCs w:val="32"/>
        </w:rPr>
        <w:t>——在岳阳街道第二届社区代表大会第二次全体会议上</w:t>
      </w:r>
    </w:p>
    <w:p>
      <w:pPr>
        <w:spacing w:line="600" w:lineRule="exact"/>
        <w:jc w:val="center"/>
        <w:rPr>
          <w:rFonts w:ascii="楷体_GB2312" w:hAnsi="华文中宋" w:eastAsia="楷体_GB2312" w:cs="仿宋_GB2312"/>
          <w:bCs/>
          <w:sz w:val="32"/>
          <w:szCs w:val="32"/>
        </w:rPr>
      </w:pPr>
      <w:r>
        <w:rPr>
          <w:rFonts w:hint="eastAsia" w:ascii="楷体_GB2312" w:hAnsi="华文中宋" w:eastAsia="楷体_GB2312" w:cs="仿宋_GB2312"/>
          <w:bCs/>
          <w:sz w:val="32"/>
          <w:szCs w:val="32"/>
        </w:rPr>
        <w:t>松江区人民政府岳阳街道办事处主任陈斌</w:t>
      </w:r>
    </w:p>
    <w:p>
      <w:pPr>
        <w:spacing w:line="600" w:lineRule="exact"/>
        <w:jc w:val="center"/>
        <w:rPr>
          <w:rFonts w:ascii="楷体_GB2312" w:hAnsi="华文中宋" w:eastAsia="楷体_GB2312" w:cs="仿宋_GB2312"/>
          <w:bCs/>
          <w:sz w:val="32"/>
          <w:szCs w:val="32"/>
        </w:rPr>
      </w:pPr>
      <w:r>
        <w:rPr>
          <w:rFonts w:hint="eastAsia" w:ascii="楷体_GB2312" w:hAnsi="华文中宋" w:eastAsia="楷体_GB2312" w:cs="仿宋_GB2312"/>
          <w:bCs/>
          <w:sz w:val="32"/>
          <w:szCs w:val="32"/>
        </w:rPr>
        <w:t>（2020年3月</w:t>
      </w:r>
      <w:r>
        <w:rPr>
          <w:rFonts w:hint="eastAsia" w:ascii="楷体_GB2312" w:hAnsi="华文中宋" w:eastAsia="楷体_GB2312" w:cs="仿宋_GB2312"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华文中宋" w:eastAsia="楷体_GB2312" w:cs="仿宋_GB2312"/>
          <w:bCs/>
          <w:sz w:val="32"/>
          <w:szCs w:val="32"/>
        </w:rPr>
        <w:t>日）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各位代表：</w:t>
      </w:r>
    </w:p>
    <w:p>
      <w:pPr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现在，我代表岳阳街道办事处，向大会作报告，请予审议，并请列席人员提出意见。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</w:rPr>
        <w:t>2019</w:t>
      </w:r>
      <w:r>
        <w:rPr>
          <w:rFonts w:ascii="黑体" w:hAnsi="宋体" w:eastAsia="黑体" w:cs="黑体"/>
          <w:sz w:val="32"/>
          <w:szCs w:val="32"/>
        </w:rPr>
        <w:t>年工作回顾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，街道办事处以习近平新时代中国特色社会主义思想为指导，全面贯彻落实党的十九大和十九届二中、三中、四中全会精神，深入学习贯彻习近平总书记考察上海重要讲话精神，在区委、区政府和街道党工委的正确领导下，紧紧围绕“一个目标、三大举措”发展战略布局，</w:t>
      </w:r>
      <w:r>
        <w:rPr>
          <w:rFonts w:hint="eastAsia" w:ascii="仿宋_GB2312" w:hAnsi="仿宋" w:eastAsia="仿宋_GB2312"/>
          <w:sz w:val="32"/>
          <w:szCs w:val="32"/>
        </w:rPr>
        <w:t>立足美丽和谐新岳阳建设，开拓创新、狠抓落实，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各项工作稳步推进。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街道2019年完成增加值29.51亿元，同比增长16.3%，其中规模以上工业增加值3.9亿元，第三产业增加值25.61亿元；工业总产值为7.84亿元，同比减少7.4%，工业销售收入为8.48亿元，同比增长4.4%；工业利润8873.5万元，同比增长0.88%；第三产业销售利润6.12亿元，同比减少7.02%。实现总税收8.53亿元，同比减少10.02%；实现地方财政收入2.60亿元，同比减少7.68%。</w:t>
      </w:r>
    </w:p>
    <w:p>
      <w:p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（一）坚持不懈推动经济发展高效化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深化企业服务。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申田经济园区招商服务平台作用，完善招商激励制度；强化以商招商，挖掘培育一批潜力企业、重点企业；通过“一窗通办”、精简流程等措施，做好新时代“店小二”。2019年，共完成招商601户，完成全年任务指标的109.27%，新办企业当年度产税率为41%，产税总额超过300万元。完成1家企业上市、10家高新技术企业认定、6个高新技术成果转化项目、106项专利申请。有序组织企业参与第二届中国国际进口博览会，5家企业共计划采购1175万元，未来五年计划采购5250万元。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优化经济监管。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签订监管责任书、划分监管责任区、落实监管责任人等方式实现区域经济监管全覆盖，着重对辖区重点企业、建筑工地等逐一排摸走访。稳步推进区域重点能耗企业节能减排目标任务；完成对区域内金融机构的全面梳理和风险排摸工作；完成经济普查清查工作，共涉及企事业等单位1860户，个体工商户2858户，顺利通过市、区两级的质量抽查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提高集体资产的运营效益，维护集体资产安全及其合法权益，确保集体资产保值增值。继续规范资产租赁流程，完善租赁指导价格体系，提升街道集体资产经营科学性和合理性。加强对直属公司的考核管理，严格对标年初制定的目标责任书，认真完成各项考核指标，确保直属公司运转平稳有序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（二）坚持不懈加速城市更新立体化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持续推进雨污水混接改造。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完成白洋别墅区雨污水混接改造和辖区21处住宅小区（点）的排摸、测绘、设计等前期工作；继续协调推进其他住宅小区（点）雨污水混接改造项目。基本完成辖区商业街坊和沿街商铺的雨污水混接排摸，加快落实推进整改治理。启动荣乐中路（人民北路-通波塘桥）段南侧人行道积水点整治及雨污水管网改造工程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持续改善环境整体面貌。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南埭路、人乐小花园、白洋绿化带口袋公园建设。继续落实“河长制、纳管制、网格制”三制并举，全年巡河发现问题218起，整改216起，整改率达99%。加强汛前排查，做好小区及小街小巷雨污水管网的疏通，完成梅园路积水点改造销项和路面平整工作。扎实推进拆违工作，完成库内销项点位403个，消除率达99.11%，拆除违建面积20736.59平米，完成年度拆违量的121.98%。继续提升建筑垃圾属地化管理水平，年度累计处置建筑装潢垃圾61430吨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持续推进旧城改造。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老城改造，2019年新增签约69户，其中旧改地块59户，累计签约率88.78%；城中村地块10户，累计签约率95.25%。有序推进动迁安置房选房，完成五个批次818户居民选房，实际选房300套。稳妥推进西林塔教育用地、金佰利地块、“两馆一场”铁路用房等腾地动迁。积极配合嘉松路南延伸工程，原古城大酒店地块安置房建设完成土地上市摘牌等事项。对景德路等旧改地块落实“一地一方案”的整治及安全管理方案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（三）坚持不懈做实城市管理精细化</w:t>
      </w:r>
    </w:p>
    <w:p>
      <w:pPr>
        <w:spacing w:line="600" w:lineRule="exact"/>
        <w:ind w:firstLine="643" w:firstLineChars="200"/>
        <w:rPr>
          <w:rFonts w:ascii="楷体_GB2312" w:hAnsi="楷体_GB2312" w:eastAsia="仿宋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着力做细城市管理。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网格化工作管理、网格长考核管理等制度，明确了首问负责、联合督办、托底处置等机制，逐步提升网格工作处置能力。通过“城管通”APP、网格化三级平台、“12345”市民服务热线工单办理等专业培训，强化队伍的业务能力。网格化综合管理信息系统全年共受理各类案件15310件，其中“12345”市民服务热线共受理工单3475件，结案率100%，实际解决率84.45%，市民满意率83.66%；信息平台受理11835件，结案率92.27%、及时结案率73.73%，解决率和满意率显著提升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着力深化垃圾分类工作。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垃圾分类宣传,发放垃圾分类宣传折页31780份、告居民书49300份、横幅海报等2134份，开展各类宣传、培训活动252场。完成49个规范小区和90个零星公房区域的定时定点分类投放，干垃圾日处置量约58.74吨、湿垃圾日处置量约42.27吨、可回收物日处置量约20.72吨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</w:t>
      </w:r>
      <w:r>
        <w:rPr>
          <w:rFonts w:ascii="仿宋_GB2312" w:hAnsi="仿宋_GB2312" w:eastAsia="仿宋_GB2312" w:cs="仿宋_GB2312"/>
          <w:bCs/>
          <w:sz w:val="32"/>
          <w:szCs w:val="32"/>
        </w:rPr>
        <w:t>53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个两网融合服务点，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完成101座生活垃圾房和20座建筑垃圾房升级改造工程。完成北九峰、民乐学校等示范小区及示范单位的标准化建设。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着力提升物业综合管理水平。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完成老旧房屋应急抢修1.2万㎡。做实物业管理协同治理平台运作；优化住宅小区综合治理实效第三方测评机制，对于管理落后的4家物业企业进行约谈；制定测评缺陷销项制度和物业从业人员及业委会考核奖励机制，调动人员积极性，提升管理水平。</w:t>
      </w:r>
    </w:p>
    <w:p>
      <w:pPr>
        <w:spacing w:line="600" w:lineRule="exact"/>
        <w:ind w:firstLine="627" w:firstLineChars="19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（四）坚持不懈保障城市安全常态化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全面推进扫黑除恶和“雪亮工程”。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全面贯彻扫黑除恶三年行动计划，充分运用各种载体，开展扫黑除恶专项宣传。街道上下集中发力，协同作战，着力围绕12个重点行业开展综合整治，关停各类场所74家，顺利完成中央督导组检查及回头看工作。</w:t>
      </w:r>
      <w:r>
        <w:rPr>
          <w:rFonts w:hint="eastAsia" w:ascii="楷体_GB2312" w:hAnsi="楷体_GB2312" w:eastAsia="楷体_GB2312" w:cs="楷体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雪亮工程</w:t>
      </w:r>
      <w:r>
        <w:rPr>
          <w:rFonts w:hint="eastAsia" w:ascii="楷体_GB2312" w:hAnsi="楷体_GB2312" w:eastAsia="楷体_GB2312" w:cs="楷体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全面验收通过，按照“全域覆盖、全网共享、全时可用、全程可控”的总体目标，完成岳阳街道视联网平台建设；建成区、街道、居委会的三级视频监控平台和街道、居委会的二级指挥中心。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全面统筹平安社区各项工作。</w:t>
      </w:r>
      <w:r>
        <w:rPr>
          <w:rFonts w:hint="eastAsia" w:ascii="仿宋_GB2312" w:hAnsi="仿宋" w:eastAsia="仿宋_GB2312" w:cs="仿宋_GB2312"/>
          <w:sz w:val="32"/>
          <w:szCs w:val="32"/>
        </w:rPr>
        <w:t>圆满完成新中国成立70周年、全国“两会”、第二届中国国际进口博览会等重要时间节点的安保稳控工作；全年共接报“110”24570起，同比下降33.3%：其中报警类“110”3715起，同比下降17%，入民宅盗窃8起，同比下降86.7%；精心组织落实烟花爆竹安全管控各项工作；认真做好反邪教和铁路护路联防工作。持续开展“七五”普法和禁毒宣传；加强刑释解教人员安置帮教；全年调处各类纠纷矛盾350起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依托“阳光信访”，深化“三解三促”，全年共受理信访案件267件335人次；信访基础业务“四率”实现四个100%；落实街道党政领导信访接待工作，共开展接（约）访31次76人次。</w:t>
      </w:r>
    </w:p>
    <w:p>
      <w:pPr>
        <w:spacing w:line="600" w:lineRule="exact"/>
        <w:ind w:firstLine="630" w:firstLineChars="196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全面夯实城市安全运行基础。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签订各类安全目标责任书、承诺书等4300份。为1075幢2422个楼道完成灭火器配置，实现灭火器全覆盖；完成戴家浜消防取水点建设及26个居委会微型消防站升级改造。对46家重点企事业单位开展为期4个月的隐患排查整治，建立“一企一档”，累计出具整改意见书94份、现场检查笔录194份，查出隐患316条，整改率100%。顺利通过中央环保第二轮督查，完善环保工作基础台帐。加强区域安全生产监管，全年无安全生产事故。积极做好防汛防台工作，全力抵御“利奇马”等台风的侵袭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（五）坚持不懈打造民生服务优质化</w:t>
      </w:r>
    </w:p>
    <w:p>
      <w:pPr>
        <w:spacing w:line="600" w:lineRule="exact"/>
        <w:ind w:firstLine="640"/>
        <w:rPr>
          <w:rFonts w:ascii="黑体" w:hAnsi="黑体" w:eastAsia="仿宋_GB2312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有力推进全年民生实事工程。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2019年十大民生实事项目全面落实：</w:t>
      </w:r>
      <w:r>
        <w:rPr>
          <w:rFonts w:hint="eastAsia" w:ascii="楷体_GB2312" w:hAnsi="楷体_GB2312" w:eastAsia="楷体_GB2312" w:cs="楷体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雪亮工程</w:t>
      </w:r>
      <w:r>
        <w:rPr>
          <w:rFonts w:hint="eastAsia" w:ascii="楷体_GB2312" w:hAnsi="楷体_GB2312" w:eastAsia="楷体_GB2312" w:cs="楷体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验收通过；实现岳阳区域规范小区和零星公房垃圾分类定时定点投放全覆盖，完成101座垃圾房改造升级项目；继续推进美丽家园建设，做好12处门岗亭规范化建设，新增200个停车位；新建5个微型消防站，为10个老旧小区配置灭火器等；新增9家不同类型的睦邻空间，增长率为16%，超额完成年初计划；正式启动文化活动中心装修项目，健身器材按计划完成更新；白洋等11家老年活动室完成升级改造；小街小巷完成绿化全覆盖，斜桥路等背街小巷完成亮灯；为辖区8000名65周岁以上老年人、60周岁以上失独家庭人员及持证残疾人开展免费体检；完成6座固定式公厕和4座装配式公厕的改造升级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持续健全养老服务体系。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康佳托老所管理制度、工作标准，提升护理人员专业水平。综合为老服务中心有序运行；实施新的为老助餐补贴方案，在20个居委会设立助餐点，受众256人；80名老人享受居家养老服务，411名老年人享受长护险服务。依托“老伙伴”计划为1360名独居高龄老人开展结对服务；依托“幸福久久”热线为4445名老人提供便民服务和精神慰藉。对14239人次开展社会救助、重残无业补助等，共发放补助金1584万元、粮油卡4049张。</w:t>
      </w:r>
    </w:p>
    <w:p>
      <w:pPr>
        <w:spacing w:line="600" w:lineRule="exact"/>
        <w:ind w:firstLine="803" w:firstLineChars="250"/>
        <w:rPr>
          <w:rFonts w:ascii="仿宋_GB2312" w:hAnsi="仿宋" w:eastAsia="仿宋_GB2312" w:cs="仿宋_GB2312"/>
          <w:sz w:val="32"/>
          <w:szCs w:val="32"/>
          <w:highlight w:val="gree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加快改进民生服务能力。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一网通办”，落实好下沉事项，累计受理事项142733件。积极开展公益招聘活动，帮助364人实现就业；帮扶12家企业获得初创补贴104.44万元。新增就业岗位685人，完成指标数101.5%；援助长期失业青年就业49人，完成指标数116.7%；帮助成功创业35人，完成指标数106.1%；完成区域内795户法人单位、产业活动单位和1027户个体户信息采集登记工作。</w:t>
      </w:r>
      <w:r>
        <w:rPr>
          <w:rFonts w:hint="eastAsia" w:ascii="仿宋_GB2312" w:hAnsi="仿宋" w:eastAsia="仿宋_GB2312" w:cs="仿宋_GB2312"/>
          <w:sz w:val="32"/>
          <w:szCs w:val="32"/>
        </w:rPr>
        <w:t>继续对困难青少年、妇女、儿童、社会孤老、失独家庭、残疾人、优抚对象等群体加强关爱服务；深化关爱功臣品牌项目，促进军民深度融合；持续做好统战、对口帮扶、政务公开、档案、科普等各项工作。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（六）坚持不懈丰富社区内涵多样化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精神文明创建不断深入。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与全国文明城区创建活动，现有专业团队11支、社区团队107支，全年开展常态化志愿项目40余个，参与志愿者达5万余人次，150名志愿者获“创全优秀志愿者”称号。围绕庆祝新中国成立70周年，大力开展各类爱国主义宣传教育活动，充分发挥各类教育基地、公益性文化设施、学生社区实践指导站、社区家庭教育指导站作用，提升未成年人的思想道德水平。积极开展文明创建，共有30个小区被评为2017-2018年度市、区文明小区，7家单位被评为2017-2018年度市、区文明单位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文化健身氛围不断深厚。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开展“初心在这里，实践我先行——岳阳区域文化市集”、“非遗进商圈——乐坊拾遗”等文化品牌活动，继续巩固“茸城之夏”、“岳阳书声琅琅”、小区巡演等活动；扎实推进岳阳街道社区文化活动中心改建、综合文化活动室建设、国民体质监测等实事项目；举办两年一次的街道运动会，1037人次参加比赛；全年共开展各类群文群体活动315次，参与居民达6.7万人次。荣获第一届全国健身养生大会等国家级体育奖项8项，上海市民文化节优秀组织奖等荣誉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社区自治共治不断深化。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以“好邻居”社区服务站功能升级为契机，努力提升基层治理的规范化能力。积极落实区级居委会规范化建设示范创建工作，共有3A级示范点4家，总体创建率达69%。持续推进“家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睦邻”社区治理项目，打造以“家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睦邻”为基础的、多种类型的居民自治和社区共治舞台，形成“长桥娘家人”、“蒋泾红管家”等各具特色的社区自治项目30个，有效解决小区治理难题。持续以岳阳街道社会组织服务园建设为平台，推动和引导辖区内社会组织积极参与社区治理，共有86家社会组织参与辖区内社区治理活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街道还被评为“2016-2018年度上海市民族团结进步先进集体”；2018年度“上海市平安示范社区”、“上海市反邪教优秀社区”；成功创建为“上海市无违建创建先进街镇”；上海市2019年度第一批“生活垃圾分类示范街镇”；2018年度“上海市平安铁路创建示范街镇”；2018年度“上海市充分就业社区达标街镇”等荣誉称号。</w:t>
      </w:r>
    </w:p>
    <w:p>
      <w:pPr>
        <w:spacing w:line="600" w:lineRule="exact"/>
        <w:ind w:firstLine="643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各位代表、同志们，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过去一年，面对各项重点工作的高标准、严要求，我们化压力为动力，唯实唯干，拼搏奋进，取得了来之不易的成绩。在此，我代表岳阳街道办事处，向在各个条线、各个岗位辛勤耕耘、默默付出的全体社区代表、干部群众，向所有关心支持、积极参与岳阳建设发展的同志们，致以崇高的敬意和诚挚的感谢！</w:t>
      </w:r>
    </w:p>
    <w:p>
      <w:pPr>
        <w:spacing w:line="600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百里者半九十，我们也要清醒地认识到目前岳阳经济社会发展还存在许多问题：新形势下，街道经济发展动力有所不足，资源相对匮乏；城市管理精细化程度有待进一步提升，商业街区环境脏乱差的问题时有反复；部分小区基础设施老化、积水漏水、停车难、小区“六乱”等难题仍未彻底解决；垃圾分类的自觉参与度、源头分类的实效性有待提高，社区服务的精准化、便利化尚有提升空间；共同安全隐患还是不少，整治力度仍需不断加大等等。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对此，我们要进一步增强担当意识，攻坚克难，不辜负百姓重托。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二、2020年主要任务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具有里程碑意义的一年，是十三五规划的收官之年，我们将全面建成小康社会，实现第一个百年奋斗目标。习近平总书记在新年贺词中强调“只争朝夕，不负韶华”，我们要在区委、区政府和街道党工委的坚强领导下，在服务经济发展、城市管理、社区治理、服务群众与保障平安等方面持续创新思路、强化举措、狠抓落实、善作善成，为高质量建设“科创、人文、生态”的现代化新松江努力奋斗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（一）着眼经济发展，以积极进取的心态重拾工作信心</w:t>
      </w:r>
    </w:p>
    <w:p>
      <w:pPr>
        <w:spacing w:line="600" w:lineRule="exact"/>
        <w:ind w:firstLine="643" w:firstLineChars="200"/>
        <w:rPr>
          <w:rFonts w:ascii="仿宋_GB2312" w:hAnsi="楷体_GB2312" w:eastAsia="仿宋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成立优化营商环境办公室，增强经济发展动力。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强化人员配备，统筹区域整体经济工作，进一步发挥服务经济，服务企业工作中的属地优势，整合营商环境资源，更好支持申田经济园区履行招商引资主体责任，全方位提升招商引资质量和水平，更有效地服务经济。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优化园区招商队伍考核办法，完善激励机制，出台岳阳街道招商引资奖励新政十条，力争完成招商950户，民营经济税收3.7亿。</w:t>
      </w:r>
    </w:p>
    <w:p>
      <w:pPr>
        <w:spacing w:line="600" w:lineRule="exact"/>
        <w:ind w:firstLine="643" w:firstLineChars="200"/>
        <w:rPr>
          <w:rFonts w:ascii="仿宋_GB2312" w:hAnsi="楷体_GB2312" w:eastAsia="仿宋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打造申田创意园，引进培育高能企业。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以“立足培育发展，聚焦引优引强”为工作思路，大力支持申田经济园区创办产业园、创意园，通过提供项目落地、企业初创、政策指导等服务，积极引进与培育一批总部经济、高新企业、上市企业等，做到外部输血与内部造血双集合、双引擎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当好企业“店小二”，提高企业服务效能。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继续加强区域经济监管队伍建设，做到服务精准、到位、暖心；继续收集重点楼宇、商圈的企业信息，做到底数清、情况明；继续加强政策宣传与执行力度，加大对外区企业的迁入力度；做好各项政策解读，帮助企业开展复工复产复市，尽快恢复各项经济秩序；做好对岳阳区域内国有、集体企业的服务力度，保障岳阳经济平稳、健康发展。全年力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完成财政总收入9.1亿元，同比增长6%；地方财政收入2.75亿元，同比增长6%。全年计划完成增加值31亿元，同比增长5%。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（二）着眼城市更新，以坚定不移的决心持续推进旧改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聚焦重点，全力推进重点项目建设。</w:t>
      </w:r>
      <w:r>
        <w:rPr>
          <w:rFonts w:hint="eastAsia" w:ascii="仿宋_GB2312" w:eastAsia="仿宋_GB2312"/>
          <w:sz w:val="32"/>
          <w:szCs w:val="32"/>
        </w:rPr>
        <w:t>有序推进原古城大酒店地块动迁安置房建设；继续做好老城改造地块居民的动迁安置工作，全力攻坚城中村项目动迁，力争实现可用净地；加紧推进21个住宅小区雨污水混接改造工作，强化企事业单位、商业街坊、沿街商铺、菜场等区域的监管。加快推进岳阳社区文化活动中心装修等工程，积极做好“两馆一场”、嘉松公路南延伸等重大工程协调配合工作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实事惠民，切实解决群众关心的突出问题。</w:t>
      </w:r>
      <w:r>
        <w:rPr>
          <w:rFonts w:hint="eastAsia" w:ascii="仿宋_GB2312" w:eastAsia="仿宋_GB2312"/>
          <w:sz w:val="32"/>
          <w:szCs w:val="32"/>
        </w:rPr>
        <w:t>配合实施好9个地块约13万平方米的老旧房屋修缮工作。抓紧完成荣乐中路</w:t>
      </w:r>
      <w:r>
        <w:rPr>
          <w:rFonts w:hint="eastAsia" w:ascii="楷体_GB2312" w:hAnsi="楷体_GB2312" w:eastAsia="楷体_GB2312" w:cs="楷体_GB2312"/>
          <w:sz w:val="32"/>
          <w:szCs w:val="32"/>
        </w:rPr>
        <w:t>（人民北路至通波塘桥段）</w:t>
      </w:r>
      <w:r>
        <w:rPr>
          <w:rFonts w:hint="eastAsia" w:ascii="仿宋_GB2312" w:eastAsia="仿宋_GB2312"/>
          <w:sz w:val="32"/>
          <w:szCs w:val="32"/>
        </w:rPr>
        <w:t>南侧人行道积水点改造及路面平整，推进民乐、龙兴等沿线住宅小区积水点改造销项。加快推进河畔雅苑小区危桥修复拓宽；有序开辟设置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社会临时停车场，缓</w:t>
      </w:r>
      <w:r>
        <w:rPr>
          <w:rFonts w:hint="eastAsia" w:ascii="仿宋_GB2312" w:eastAsia="仿宋_GB2312"/>
          <w:sz w:val="32"/>
          <w:szCs w:val="32"/>
        </w:rPr>
        <w:t>解老城区停车难问题，不断改善老城区居民生活和居住环境。</w:t>
      </w:r>
    </w:p>
    <w:p>
      <w:pPr>
        <w:spacing w:line="600" w:lineRule="exact"/>
        <w:ind w:firstLine="643" w:firstLineChars="200"/>
        <w:rPr>
          <w:rFonts w:ascii="楷体_GB2312" w:hAnsi="楷体" w:eastAsia="楷体_GB2312" w:cs="楷体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守牢底线，坚决保障工程项目运行安全。</w:t>
      </w:r>
      <w:r>
        <w:rPr>
          <w:rFonts w:hint="eastAsia" w:ascii="仿宋_GB2312" w:eastAsia="仿宋_GB2312"/>
          <w:sz w:val="32"/>
          <w:szCs w:val="32"/>
        </w:rPr>
        <w:t>继续抓实抓牢建筑工地、工程项目的安全监管。做好汛前的安全检查、隐患排查、风险化解和汛期应急值守，确保安全度汛。定期开展水、电、燃气及地下管线、地下空间、玻璃幕墙、高空坠物等安全检查，保障城市运行安全。修订和完善街道有关工程项目管理制度，严格招投标管理，做好全流程闭环管理，严格落实“一岗双责”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（三）着眼精细化管理，以敢为人先的卓越心补齐短板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抓实新冠肺炎疫情防控工作。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继续严格落实新冠肺炎防控管理“三全”工作要求，加强排查，广泛开展社会动员。严格落实社区防控，强化54个规范小区和51个不规范小区的封闭管理工作，统筹社区各方力量，实施叠加式巡逻管控管理制度。严格街区排查管控，明确责任人，重点做好沿街商铺、楼宇、超市、人才公寓等场所的隐患排查，做到“一店一表”，不留死角。持续加强火车站道口来沪返沪人员检测管理。规范处置防控物资，做到进出有序，收发到位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抓实城运中心建设。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按照时间节点、统筹各方资源，积极完成城运中心建设；依托现有网格化管理和处置机制，继续完善全区域、全覆盖、全流程监管，不断提升市民满意度和实际解决率；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创新智慧管理方式，运用新技术，精准配置社会治理资源，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为进一步提升精细化管理水平打好基础。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抓实生活垃圾分类。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垃圾定时定点投放，优化考核奖惩办法，提升补贴标准，切实提高志愿者和物业公司积极性，提升源头分类实效；强化党建引领，继续开展相关普及培训50场，着力培育居民垃圾分类自觉意识；抓紧推进两网融合升级以及智能垃圾房改建，全年力争完成49个回收网点提标改造、1座中转站标准化建设以及65个垃圾房绿色账户自助扫码器的加装工作。进一步做细单位生活垃圾强制分类工作，针对重点单位开展专项检查，督促提升分类实效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抓实“三美工程”建设。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荣乐路沿线市容管理，打造精品示范街区；强化谷阳路、人民路、中山中路、华亭老街等街区市容改造，持续强化路长制。进一步发挥物业党建工作指导委员会和物业管理协同治理平台作用，用好考核激励政策、第三方测评机制，不断提升老城区物业管理水平；进一步坚持“四治三化”，积极探索启动老旧公房加装电梯试点工作、规范小区业委会全覆盖等工作。以“鹿都—乐颂坊”商圈为示范，加快推进区域美丽商圈建设，推动城市整体容貌再上新台阶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（四）着眼城市安全，以更扎实有效举措维护社会稳定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做实平安社区建设。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深化扫黑除恶专项斗争，进一步完善线索核查反馈回应机制，持续加大区域整治力度。加快“智能安防社区”建设，开展社区数据采集和智能安防系统建设，实现社区智能管控。依托“雪亮工程”、“智慧公安”、警务流程再造、“四站合一”规范化建设等，着力完善社会治安防控体系。落实禁毒、社区矫正、反邪教等工作向纵深推进，强化特殊人员帮扶管控；依托“阳光信访”，打造人民满意的信访窗口，加快“三解三促”，做实“4个100%”；健全矛盾多元化解工作机制，维护岳阳秩序稳定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保障城市运行安全。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安全生产主体责任，扎实推进安全生产隐患排查和风险管理治理，强化重点行业、重点领域、重点场所安全防控，严防重特大安全生产事故发生。对部分社区43幢135个楼道的1180只灭火器进行更新；对部分社区140幢373个楼道的消防喷淋设备纳入维保；完成新建2个区域重点单位微型消防站的工作目标，进一步预防和减少火灾事故的发生；落实市环保督察回头看各项工作；继续强化各类群防群治，夯实防汛防台基础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抓好环境综合治理。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无违建街道创建成功的基础上，确保“止新去旧”，确保完成金佰利地块拆违任务；继续加快水环境综合治理，全面提升水环境质量；落实建筑垃圾处置全过程监管的各项制度，通过市场化手段，实施建筑垃圾各环节的规范化管理运作；进一步提升岳阳辖区环卫作业水平，加强对第三方作业单位的监管和考核。加强对金佰利纸业等重点区域开展环保检查，督促企业落实主体责任，认真做好降噪音、扬尘防控等工作；加强对辖区夜排档等小型餐饮店开展巡查，严禁油烟直排、噪音扰民等违法违规行为；妥善处置环保类信访投诉，确保整改到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（五）着眼民生服务，以不忘初心牢记使命的责任感履职尽责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加快落实各项民生实事工程。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实施民乐小区外围、休闲广场、老水厂绿地等三处街心花园改造工程；继续推进厕所革命，力争完成15座公共厕所的改造提升；加快推进九峰等6个社区老年活动室、部分无障碍设施的建设。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积极推进各项便民惠民服务项目。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邻里中心建设，建成具备社区食堂、老年学校、便民服务等功能的邻里中心；为社区居民提供更多的选择、更好的服务；继续为区域7000多名65周岁以上老人提供免费体检；推进长者照护之家服务向社区居民家庭延伸，进一步探索社区养老模式；提高长护险和居家养老服务质量，让符合条件的老年人享受到政府关爱，形成社会参与的养老服务氛围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继续推进各项社会事业发展。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社区事务受理服务中心窗口标准化建设，提升软硬件服务水平；进一步提高“一网通办”实效；整合街道资源，巩固社会救助“一口上下”全覆盖；全力推动劳动保障事务，加强就业促进工作，促进劳动关系和谐稳定；继续做好残疾人家庭无障碍设施改造，做好康复机构规范建设，细化残疾人精准康复工作；继续做好统战、合作交流、武装、民防、双拥、科普、红十字、计生、慈善、政务公开、档案等各项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（六）着眼社区治理，以“四治三化”为目标创新探索新品牌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强化“楼组力量”，深化“家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vertAlign w:val="superscript"/>
        </w:rPr>
        <w:t>+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睦邻”品牌建设。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推出首批“家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睦邻”楼组实验点，优化楼组长和楼组骨干队伍，有序推进楼组自治建设，延伸和拓展社区功能，增添基层民主与治理活力。围绕“好邻居”项目，全面开展居委会“清洁行动”，实现居委会标准化建设全覆盖；推进居委会规范化工作，探索居委会全岗通；完善“社工+义工+志愿者”队伍建设，加快社区云电子平台建设，落实社团、社会组织进出机制，培育更多优质社区项目和社区团队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提升社区文明水准，加快文明城区创建。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全力冲刺全国文明城区创建为抓手，推进新时代文明实践中心建设。继续增强舆论宣传氛围，抓牢宣传、网评员和微信小编队伍，及时应对舆情，认真落实意识形态工作。深入开展群众性精神文明建设，开展文化修身活动及道德模范宣传，推进岳阳满天星等实体性文明创建活动。以3.5学雷锋日和12.5国际志愿者日等为契机，继续开展多样化的志愿服务活动。依托社区青年中心做好学生社区实践指导工作，打造“丫丫爱心暑托班”等特色学生实践项目，丰富未成年人成长经历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整合社区文化资源，丰富居民文体生活。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社区文化活动中心整体改建项目，保障过渡时期居民基本文化体育健身需求；举办街道第十二届社区文化艺术节，组织团队参加市民文化节各项活动，扎实做好广场文艺及小区巡演、综合文化活动室建设；发挥岳阳品牌效应，广泛开展全民健身活动，大力发展社区群众体育事业，加快百姓健身房的建设，丰富各类健身器材。继续加大对顾绣多形式、多方位、多渠道的宣传，做好顾绣传承人梯队建设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（七）着眼政府效能，以人民满意为目标落实各项举措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强化作风建设。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贯彻新时代党的建设总要求，深入落实中央八项规定及其实施细则精神，进一步强化公共政策和财政资金使用的绩效管理，提高财政资金使用效率。持续推进以“四责协同”为主要内容的党风廉政建设，运用“四种形态”，狠抓纪律建设，严格干部管理，坚持不懈锤炼忠诚、干净、担当的政治品格，推进“清廉岳阳”建设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深化能力建设。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加强社区干部能力建设，深化“全岗通”工作要求，创新培训方式，增强培训针对性、有效性，培育更多“一专多能”的社区工作骨干，不断提升社区干部服务群众的能力和水平。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提升法治建设。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驰而不息改进政府工作作风，推进法治政府建设；继续推进政务公开标准化、规范化工作；深入推进依法行政，创新工作举措；继续推进行政决策科学化、民主化、法治化；坚持严格规范、公正文明执法；完善政府法律顾问制度和行政应诉工作机制；全面完成“七五”普法各项工作验收，提高全民法治素养和道德素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各位代表、同</w:t>
      </w:r>
      <w:r>
        <w:rPr>
          <w:rFonts w:hint="eastAsia" w:ascii="仿宋_GB2312" w:hAnsi="仿宋_GB2312" w:eastAsia="仿宋_GB2312" w:cs="仿宋_GB2312"/>
          <w:sz w:val="32"/>
          <w:szCs w:val="32"/>
        </w:rPr>
        <w:t>志们，2020年，让我们继续紧密团结在以习近平同志为核心的党中央周围，</w:t>
      </w:r>
      <w:r>
        <w:rPr>
          <w:rFonts w:hint="eastAsia" w:ascii="仿宋_GB2312" w:eastAsia="仿宋_GB2312"/>
          <w:sz w:val="32"/>
          <w:szCs w:val="32"/>
        </w:rPr>
        <w:t>在区委、区政府和街道党工委的坚强领导下，在岳阳广大干部群众唯实唯干、拼搏奋进的斗志鼓舞下，为全面建成小康社会，为十三五建设划上圆满句号，为建设“科创、人文、生态”现代化新松江，奋力书写人民满意的时代答卷！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75A"/>
    <w:rsid w:val="0007283D"/>
    <w:rsid w:val="000867A4"/>
    <w:rsid w:val="0016004D"/>
    <w:rsid w:val="001B3B57"/>
    <w:rsid w:val="00266736"/>
    <w:rsid w:val="00286D89"/>
    <w:rsid w:val="002E254F"/>
    <w:rsid w:val="00346D24"/>
    <w:rsid w:val="0036237C"/>
    <w:rsid w:val="00367365"/>
    <w:rsid w:val="003C0C57"/>
    <w:rsid w:val="00426E73"/>
    <w:rsid w:val="004872A0"/>
    <w:rsid w:val="004F0984"/>
    <w:rsid w:val="00610A5D"/>
    <w:rsid w:val="00615C9A"/>
    <w:rsid w:val="00660B70"/>
    <w:rsid w:val="00842CA8"/>
    <w:rsid w:val="009E575A"/>
    <w:rsid w:val="00A531F0"/>
    <w:rsid w:val="00AE50FA"/>
    <w:rsid w:val="00B75706"/>
    <w:rsid w:val="00BB0C81"/>
    <w:rsid w:val="00BB6545"/>
    <w:rsid w:val="00D24113"/>
    <w:rsid w:val="00EC2AD3"/>
    <w:rsid w:val="0584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5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日期 Char"/>
    <w:basedOn w:val="10"/>
    <w:link w:val="4"/>
    <w:semiHidden/>
    <w:qFormat/>
    <w:uiPriority w:val="99"/>
  </w:style>
  <w:style w:type="character" w:customStyle="1" w:styleId="2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2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1445</Words>
  <Characters>8237</Characters>
  <Lines>68</Lines>
  <Paragraphs>19</Paragraphs>
  <TotalTime>93</TotalTime>
  <ScaleCrop>false</ScaleCrop>
  <LinksUpToDate>false</LinksUpToDate>
  <CharactersWithSpaces>9663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2020-01-03T12:15:00Z</dcterms:created>
  <dc:creator>lx</dc:creator>
  <cp:lastModifiedBy>笑笑</cp:lastModifiedBy>
  <cp:lastPrinted>2020-02-28T16:58:00Z</cp:lastPrinted>
  <dcterms:modified xsi:type="dcterms:W3CDTF">2020-03-27T08:57:18Z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